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23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969"/>
        <w:gridCol w:w="1848"/>
        <w:gridCol w:w="3969"/>
      </w:tblGrid>
      <w:tr w:rsidR="005803C0" w14:paraId="7FD7AD45" w14:textId="77777777" w:rsidTr="00045F12">
        <w:tc>
          <w:tcPr>
            <w:tcW w:w="6521" w:type="dxa"/>
            <w:gridSpan w:val="2"/>
            <w:vAlign w:val="center"/>
          </w:tcPr>
          <w:p w14:paraId="402A7D8C" w14:textId="77777777" w:rsidR="005803C0" w:rsidRPr="00DD6FDD" w:rsidRDefault="005803C0">
            <w:pPr>
              <w:rPr>
                <w:rFonts w:asciiTheme="minorHAnsi" w:eastAsiaTheme="minorEastAsia" w:hAnsiTheme="minorHAnsi"/>
                <w:noProof/>
                <w:color w:val="000000"/>
                <w:sz w:val="28"/>
                <w:szCs w:val="28"/>
                <w:lang w:eastAsia="en-GB"/>
              </w:rPr>
            </w:pPr>
            <w:r w:rsidRPr="00DD6FDD">
              <w:rPr>
                <w:rFonts w:eastAsiaTheme="minorEastAsia"/>
                <w:b/>
                <w:bCs/>
                <w:noProof/>
                <w:color w:val="00A9CE"/>
                <w:sz w:val="28"/>
                <w:szCs w:val="28"/>
                <w:lang w:eastAsia="en-GB"/>
              </w:rPr>
              <w:t>Erica Kneipp</w:t>
            </w:r>
          </w:p>
          <w:p w14:paraId="391F353B" w14:textId="77777777" w:rsidR="005803C0" w:rsidRPr="00DD6FDD" w:rsidRDefault="005803C0">
            <w:pPr>
              <w:rPr>
                <w:rFonts w:eastAsiaTheme="minorEastAsia"/>
                <w:noProof/>
                <w:color w:val="000000"/>
                <w:lang w:eastAsia="en-GB"/>
              </w:rPr>
            </w:pPr>
            <w:r w:rsidRPr="00DD6FDD">
              <w:rPr>
                <w:rFonts w:eastAsiaTheme="minorEastAsia"/>
                <w:noProof/>
                <w:color w:val="000000"/>
                <w:lang w:eastAsia="en-GB"/>
              </w:rPr>
              <w:t xml:space="preserve">Research Director </w:t>
            </w:r>
            <w:r w:rsidRPr="00DD6FDD">
              <w:rPr>
                <w:rFonts w:eastAsiaTheme="minorEastAsia"/>
                <w:noProof/>
                <w:color w:val="00A9CE"/>
                <w:lang w:eastAsia="en-GB"/>
              </w:rPr>
              <w:t>|</w:t>
            </w:r>
            <w:r w:rsidRPr="00DD6FDD">
              <w:rPr>
                <w:rFonts w:eastAsiaTheme="minorEastAsia"/>
                <w:noProof/>
                <w:lang w:eastAsia="en-GB"/>
              </w:rPr>
              <w:t>Human Health</w:t>
            </w:r>
          </w:p>
          <w:p w14:paraId="7D49FC4F" w14:textId="77777777" w:rsidR="005803C0" w:rsidRPr="00DD6FDD" w:rsidRDefault="005803C0">
            <w:pPr>
              <w:rPr>
                <w:rFonts w:eastAsiaTheme="minorEastAsia"/>
                <w:noProof/>
                <w:color w:val="00A9CE"/>
              </w:rPr>
            </w:pPr>
            <w:r w:rsidRPr="00DD6FDD">
              <w:rPr>
                <w:rFonts w:eastAsiaTheme="minorEastAsia"/>
                <w:noProof/>
                <w:color w:val="000000"/>
                <w:lang w:eastAsia="en-GB"/>
              </w:rPr>
              <w:t xml:space="preserve">Health and Biosecurity </w:t>
            </w:r>
            <w:r w:rsidRPr="00DD6FDD">
              <w:rPr>
                <w:rFonts w:eastAsiaTheme="minorEastAsia"/>
                <w:noProof/>
                <w:color w:val="00A9CE"/>
                <w:lang w:eastAsia="en-GB"/>
              </w:rPr>
              <w:t>|</w:t>
            </w:r>
            <w:r w:rsidRPr="00DD6FDD">
              <w:rPr>
                <w:rFonts w:eastAsiaTheme="minorEastAsia"/>
                <w:noProof/>
                <w:color w:val="000000"/>
                <w:lang w:eastAsia="en-GB"/>
              </w:rPr>
              <w:t xml:space="preserve"> </w:t>
            </w:r>
            <w:r w:rsidRPr="00DD6FDD">
              <w:rPr>
                <w:rFonts w:eastAsiaTheme="minorEastAsia"/>
                <w:b/>
                <w:bCs/>
                <w:noProof/>
                <w:color w:val="00A9CE"/>
              </w:rPr>
              <w:t>CSIRO</w:t>
            </w:r>
            <w:r w:rsidRPr="00DD6FDD">
              <w:rPr>
                <w:rFonts w:eastAsiaTheme="minorEastAsia"/>
                <w:noProof/>
                <w:color w:val="00A9CE"/>
              </w:rPr>
              <w:t xml:space="preserve"> Australia’s National Science Agency </w:t>
            </w:r>
          </w:p>
          <w:p w14:paraId="1A6167C6" w14:textId="77777777" w:rsidR="005803C0" w:rsidRPr="00DD6FDD" w:rsidRDefault="00440765">
            <w:pPr>
              <w:rPr>
                <w:rFonts w:eastAsiaTheme="minorEastAsia"/>
                <w:noProof/>
                <w:color w:val="000000"/>
                <w:lang w:eastAsia="en-GB"/>
              </w:rPr>
            </w:pPr>
            <w:hyperlink r:id="rId10" w:history="1">
              <w:r w:rsidR="005803C0" w:rsidRPr="00DD6FDD">
                <w:rPr>
                  <w:rStyle w:val="Hyperlink"/>
                  <w:rFonts w:eastAsiaTheme="minorEastAsia"/>
                  <w:noProof/>
                  <w:color w:val="7F7F7F"/>
                  <w:lang w:eastAsia="en-GB"/>
                </w:rPr>
                <w:t>Erica.Kneipp@csiro.au</w:t>
              </w:r>
            </w:hyperlink>
            <w:r w:rsidR="005803C0" w:rsidRPr="00DD6FDD">
              <w:rPr>
                <w:rFonts w:eastAsiaTheme="minorEastAsia"/>
                <w:noProof/>
                <w:color w:val="00A9CE"/>
                <w:lang w:eastAsia="en-GB"/>
              </w:rPr>
              <w:t xml:space="preserve"> |</w:t>
            </w:r>
            <w:r w:rsidR="005803C0" w:rsidRPr="00DD6FDD">
              <w:rPr>
                <w:rFonts w:eastAsiaTheme="minorEastAsia"/>
                <w:noProof/>
                <w:color w:val="000000"/>
                <w:lang w:eastAsia="en-GB"/>
              </w:rPr>
              <w:t xml:space="preserve"> +61 434 736 718 </w:t>
            </w:r>
          </w:p>
          <w:p w14:paraId="25D6E130" w14:textId="77777777" w:rsidR="005803C0" w:rsidRPr="00DD6FDD" w:rsidRDefault="005803C0">
            <w:pPr>
              <w:rPr>
                <w:rFonts w:eastAsia="Calibri"/>
                <w:noProof/>
                <w:color w:val="000000"/>
              </w:rPr>
            </w:pPr>
            <w:r w:rsidRPr="00DD6FDD">
              <w:rPr>
                <w:rFonts w:eastAsia="Calibri"/>
                <w:noProof/>
                <w:color w:val="000000"/>
              </w:rPr>
              <w:t>GPO Box 1700, Canberra, ACT 2601, Australia</w:t>
            </w:r>
          </w:p>
          <w:p w14:paraId="3F89A223" w14:textId="392B6129" w:rsidR="005803C0" w:rsidRPr="00DD6FDD" w:rsidRDefault="005803C0">
            <w:pPr>
              <w:rPr>
                <w:rFonts w:asciiTheme="minorHAnsi" w:eastAsia="Calibri" w:hAnsiTheme="minorHAnsi" w:cstheme="minorBidi"/>
                <w:noProof/>
                <w:sz w:val="28"/>
                <w:szCs w:val="28"/>
              </w:rPr>
            </w:pPr>
          </w:p>
        </w:tc>
        <w:tc>
          <w:tcPr>
            <w:tcW w:w="5817" w:type="dxa"/>
            <w:gridSpan w:val="2"/>
            <w:hideMark/>
          </w:tcPr>
          <w:p w14:paraId="1E1DFF4B" w14:textId="1EFCFC45" w:rsidR="005803C0" w:rsidRDefault="005803C0">
            <w:pPr>
              <w:rPr>
                <w:rFonts w:asciiTheme="minorHAnsi" w:eastAsia="Calibri" w:hAnsiTheme="minorHAnsi" w:cstheme="minorBidi"/>
                <w:noProof/>
              </w:rPr>
            </w:pPr>
            <w:r>
              <w:rPr>
                <w:rFonts w:eastAsia="Calibri"/>
                <w:noProof/>
              </w:rPr>
              <w:drawing>
                <wp:inline distT="0" distB="0" distL="0" distR="0" wp14:anchorId="201E297E" wp14:editId="74489159">
                  <wp:extent cx="984250" cy="88900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250" cy="88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4B3D" w14:paraId="689775EB" w14:textId="77777777" w:rsidTr="00045F12">
        <w:tc>
          <w:tcPr>
            <w:tcW w:w="6521" w:type="dxa"/>
            <w:gridSpan w:val="2"/>
            <w:vAlign w:val="center"/>
          </w:tcPr>
          <w:p w14:paraId="5CAA0D44" w14:textId="77777777" w:rsidR="00324B3D" w:rsidRDefault="00324B3D">
            <w:pPr>
              <w:rPr>
                <w:rFonts w:eastAsiaTheme="minorEastAsia"/>
                <w:b/>
                <w:bCs/>
                <w:noProof/>
                <w:color w:val="00A9CE"/>
                <w:sz w:val="28"/>
                <w:szCs w:val="28"/>
                <w:lang w:eastAsia="en-GB"/>
              </w:rPr>
            </w:pPr>
          </w:p>
          <w:p w14:paraId="606F6244" w14:textId="77777777" w:rsidR="00324B3D" w:rsidRDefault="00324B3D">
            <w:pPr>
              <w:rPr>
                <w:rFonts w:eastAsiaTheme="minorEastAsia"/>
                <w:b/>
                <w:bCs/>
                <w:noProof/>
                <w:color w:val="00A9CE"/>
                <w:sz w:val="28"/>
                <w:szCs w:val="28"/>
                <w:lang w:eastAsia="en-GB"/>
              </w:rPr>
            </w:pPr>
          </w:p>
          <w:p w14:paraId="0BAF6694" w14:textId="02CBD322" w:rsidR="00324B3D" w:rsidRPr="00DD6FDD" w:rsidRDefault="00324B3D">
            <w:pPr>
              <w:rPr>
                <w:rFonts w:eastAsiaTheme="minorEastAsia"/>
                <w:b/>
                <w:bCs/>
                <w:noProof/>
                <w:color w:val="00A9CE"/>
                <w:sz w:val="28"/>
                <w:szCs w:val="28"/>
                <w:lang w:eastAsia="en-GB"/>
              </w:rPr>
            </w:pPr>
          </w:p>
        </w:tc>
        <w:tc>
          <w:tcPr>
            <w:tcW w:w="5817" w:type="dxa"/>
            <w:gridSpan w:val="2"/>
          </w:tcPr>
          <w:p w14:paraId="62FEEB58" w14:textId="77777777" w:rsidR="00324B3D" w:rsidRDefault="00324B3D">
            <w:pPr>
              <w:rPr>
                <w:rFonts w:eastAsia="Calibri"/>
                <w:noProof/>
              </w:rPr>
            </w:pPr>
          </w:p>
        </w:tc>
      </w:tr>
      <w:tr w:rsidR="00926CF9" w14:paraId="28404B62" w14:textId="77777777" w:rsidTr="00045F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69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74AA584" w14:textId="77777777" w:rsidR="00926CF9" w:rsidRPr="00DD6FDD" w:rsidRDefault="00926CF9" w:rsidP="006037D3">
            <w:pPr>
              <w:spacing w:after="120" w:line="264" w:lineRule="auto"/>
              <w:rPr>
                <w:szCs w:val="20"/>
              </w:rPr>
            </w:pPr>
            <w:r>
              <w:rPr>
                <w:noProof/>
                <w:szCs w:val="20"/>
              </w:rPr>
              <w:drawing>
                <wp:anchor distT="0" distB="0" distL="114300" distR="114300" simplePos="0" relativeHeight="251663872" behindDoc="0" locked="0" layoutInCell="1" allowOverlap="1" wp14:anchorId="4598B256" wp14:editId="409AD060">
                  <wp:simplePos x="0" y="0"/>
                  <wp:positionH relativeFrom="margin">
                    <wp:posOffset>55880</wp:posOffset>
                  </wp:positionH>
                  <wp:positionV relativeFrom="paragraph">
                    <wp:posOffset>50800</wp:posOffset>
                  </wp:positionV>
                  <wp:extent cx="1325880" cy="2336165"/>
                  <wp:effectExtent l="19050" t="19050" r="26670" b="26035"/>
                  <wp:wrapThrough wrapText="bothSides">
                    <wp:wrapPolygon edited="0">
                      <wp:start x="-310" y="-176"/>
                      <wp:lineTo x="-310" y="21665"/>
                      <wp:lineTo x="21724" y="21665"/>
                      <wp:lineTo x="21724" y="-176"/>
                      <wp:lineTo x="-310" y="-176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880" cy="233616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BC94AA" w14:textId="5C6C05D7" w:rsidR="00926CF9" w:rsidRDefault="00926CF9" w:rsidP="006037D3">
            <w:pPr>
              <w:spacing w:after="120" w:line="264" w:lineRule="auto"/>
              <w:rPr>
                <w:szCs w:val="20"/>
              </w:rPr>
            </w:pPr>
            <w:r w:rsidRPr="00DD6FDD">
              <w:rPr>
                <w:szCs w:val="20"/>
              </w:rPr>
              <w:t xml:space="preserve">Erica Kneipp’s experience spans </w:t>
            </w:r>
            <w:r>
              <w:rPr>
                <w:szCs w:val="20"/>
              </w:rPr>
              <w:t xml:space="preserve">several decades of work at </w:t>
            </w:r>
            <w:r w:rsidRPr="00DD6FDD">
              <w:rPr>
                <w:szCs w:val="20"/>
              </w:rPr>
              <w:t xml:space="preserve">all levels of government, </w:t>
            </w:r>
            <w:r w:rsidR="00CF032B">
              <w:rPr>
                <w:szCs w:val="20"/>
              </w:rPr>
              <w:t xml:space="preserve">and </w:t>
            </w:r>
            <w:r w:rsidR="000A4B5F">
              <w:rPr>
                <w:szCs w:val="20"/>
              </w:rPr>
              <w:t xml:space="preserve">in the </w:t>
            </w:r>
            <w:r w:rsidRPr="00DD6FDD">
              <w:rPr>
                <w:szCs w:val="20"/>
              </w:rPr>
              <w:t>private and not-for-profit</w:t>
            </w:r>
            <w:r w:rsidR="005D49E7">
              <w:rPr>
                <w:szCs w:val="20"/>
              </w:rPr>
              <w:t xml:space="preserve"> sectors supporting</w:t>
            </w:r>
            <w:r w:rsidRPr="00DD6FDD">
              <w:rPr>
                <w:szCs w:val="20"/>
              </w:rPr>
              <w:t xml:space="preserve"> health</w:t>
            </w:r>
            <w:r>
              <w:rPr>
                <w:szCs w:val="20"/>
              </w:rPr>
              <w:t>care</w:t>
            </w:r>
            <w:r w:rsidR="005D49E7">
              <w:rPr>
                <w:szCs w:val="20"/>
              </w:rPr>
              <w:t xml:space="preserve"> delivery</w:t>
            </w:r>
            <w:r>
              <w:rPr>
                <w:szCs w:val="20"/>
              </w:rPr>
              <w:t xml:space="preserve"> and life science</w:t>
            </w:r>
            <w:r w:rsidR="005D49E7">
              <w:rPr>
                <w:szCs w:val="20"/>
              </w:rPr>
              <w:t xml:space="preserve">s </w:t>
            </w:r>
            <w:r w:rsidRPr="00DD6FDD">
              <w:rPr>
                <w:szCs w:val="20"/>
              </w:rPr>
              <w:t>in Australia</w:t>
            </w:r>
            <w:r>
              <w:rPr>
                <w:szCs w:val="20"/>
              </w:rPr>
              <w:t>.</w:t>
            </w:r>
          </w:p>
          <w:p w14:paraId="6EA0242F" w14:textId="6B13BBF7" w:rsidR="00926CF9" w:rsidRPr="00063101" w:rsidRDefault="00926CF9" w:rsidP="006037D3">
            <w:pPr>
              <w:spacing w:after="120" w:line="264" w:lineRule="auto"/>
              <w:rPr>
                <w:szCs w:val="20"/>
              </w:rPr>
            </w:pPr>
            <w:r>
              <w:rPr>
                <w:szCs w:val="20"/>
              </w:rPr>
              <w:t xml:space="preserve">Erica joined </w:t>
            </w:r>
            <w:hyperlink r:id="rId13" w:history="1">
              <w:r w:rsidRPr="00CB53DA">
                <w:rPr>
                  <w:rStyle w:val="Hyperlink"/>
                  <w:szCs w:val="20"/>
                </w:rPr>
                <w:t>CSIRO</w:t>
              </w:r>
            </w:hyperlink>
            <w:r>
              <w:rPr>
                <w:szCs w:val="20"/>
              </w:rPr>
              <w:t>, Australia’s National Science Agency, in 2021 as the R</w:t>
            </w:r>
            <w:r w:rsidRPr="00DD6FDD">
              <w:rPr>
                <w:szCs w:val="20"/>
              </w:rPr>
              <w:t>esearch Director for Human Health. Her portfolio encompasses infectious disease, diagnosti</w:t>
            </w:r>
            <w:r w:rsidR="00120723">
              <w:rPr>
                <w:szCs w:val="20"/>
              </w:rPr>
              <w:t>cs</w:t>
            </w:r>
            <w:r w:rsidR="00A90801">
              <w:rPr>
                <w:szCs w:val="20"/>
              </w:rPr>
              <w:t xml:space="preserve">, </w:t>
            </w:r>
            <w:r w:rsidRPr="00DD6FDD">
              <w:rPr>
                <w:szCs w:val="20"/>
              </w:rPr>
              <w:t>nutrition</w:t>
            </w:r>
            <w:r w:rsidR="00120723">
              <w:rPr>
                <w:szCs w:val="20"/>
              </w:rPr>
              <w:t xml:space="preserve"> </w:t>
            </w:r>
            <w:r w:rsidR="00A90801">
              <w:rPr>
                <w:szCs w:val="20"/>
              </w:rPr>
              <w:t xml:space="preserve">and </w:t>
            </w:r>
            <w:r w:rsidR="00C56327">
              <w:rPr>
                <w:szCs w:val="20"/>
              </w:rPr>
              <w:t>public health,</w:t>
            </w:r>
            <w:r w:rsidRPr="00DD6FDD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and </w:t>
            </w:r>
            <w:r w:rsidR="00F242BD">
              <w:rPr>
                <w:szCs w:val="20"/>
              </w:rPr>
              <w:t>pre</w:t>
            </w:r>
            <w:r w:rsidR="00FC52E7">
              <w:rPr>
                <w:szCs w:val="20"/>
              </w:rPr>
              <w:t>-</w:t>
            </w:r>
            <w:r>
              <w:rPr>
                <w:szCs w:val="20"/>
              </w:rPr>
              <w:t xml:space="preserve">clinical </w:t>
            </w:r>
            <w:r w:rsidR="00FC52E7">
              <w:rPr>
                <w:szCs w:val="20"/>
              </w:rPr>
              <w:t xml:space="preserve">analytics and clinical </w:t>
            </w:r>
            <w:r>
              <w:rPr>
                <w:szCs w:val="20"/>
              </w:rPr>
              <w:t>trials</w:t>
            </w:r>
            <w:r w:rsidRPr="00DD6FDD">
              <w:rPr>
                <w:szCs w:val="20"/>
              </w:rPr>
              <w:t>.</w:t>
            </w:r>
            <w:r>
              <w:rPr>
                <w:szCs w:val="20"/>
              </w:rPr>
              <w:t xml:space="preserve"> Prior to that she</w:t>
            </w:r>
            <w:r w:rsidR="00863F27">
              <w:rPr>
                <w:szCs w:val="20"/>
              </w:rPr>
              <w:t xml:space="preserve"> was</w:t>
            </w:r>
            <w:r>
              <w:rPr>
                <w:szCs w:val="20"/>
              </w:rPr>
              <w:t xml:space="preserve"> with the Australian National University serving as the Head of Research Strategy for health and medicine.</w:t>
            </w:r>
          </w:p>
          <w:p w14:paraId="3E1A09E8" w14:textId="77777777" w:rsidR="00BE78ED" w:rsidRDefault="00926CF9" w:rsidP="006037D3">
            <w:pPr>
              <w:spacing w:after="120" w:line="264" w:lineRule="auto"/>
            </w:pPr>
            <w:r>
              <w:rPr>
                <w:rFonts w:cs="Arial"/>
                <w:bCs/>
              </w:rPr>
              <w:t xml:space="preserve">From 2009-2019 was a senior executive in </w:t>
            </w:r>
            <w:r w:rsidRPr="00DD6FDD">
              <w:rPr>
                <w:szCs w:val="20"/>
              </w:rPr>
              <w:t xml:space="preserve">Commonwealth </w:t>
            </w:r>
            <w:r w:rsidR="001E7C46">
              <w:rPr>
                <w:szCs w:val="20"/>
              </w:rPr>
              <w:t>Health</w:t>
            </w:r>
            <w:r w:rsidRPr="00DD6FDD">
              <w:rPr>
                <w:szCs w:val="20"/>
              </w:rPr>
              <w:t xml:space="preserve">. </w:t>
            </w:r>
            <w:r>
              <w:rPr>
                <w:szCs w:val="20"/>
              </w:rPr>
              <w:t xml:space="preserve">She </w:t>
            </w:r>
            <w:r w:rsidRPr="00DD6FDD">
              <w:rPr>
                <w:szCs w:val="20"/>
              </w:rPr>
              <w:t xml:space="preserve">was instrumental in establishing </w:t>
            </w:r>
            <w:r>
              <w:rPr>
                <w:szCs w:val="20"/>
              </w:rPr>
              <w:t xml:space="preserve">the </w:t>
            </w:r>
            <w:r>
              <w:t xml:space="preserve">$500m+ Biomedical Translation Fund and the $20b Medical Research Future Fund, which </w:t>
            </w:r>
            <w:r w:rsidR="00624CDE">
              <w:t>more than</w:t>
            </w:r>
            <w:r>
              <w:t xml:space="preserve"> doubled Australia’s investment in health and medical research. She</w:t>
            </w:r>
            <w:r w:rsidR="00624CDE">
              <w:t xml:space="preserve"> also</w:t>
            </w:r>
            <w:r>
              <w:t xml:space="preserve"> led the national agenda on clinical trial reform </w:t>
            </w:r>
            <w:r w:rsidR="00AD034F">
              <w:t>supported</w:t>
            </w:r>
            <w:r>
              <w:t xml:space="preserve"> by a collaborative industry forum. </w:t>
            </w:r>
          </w:p>
          <w:p w14:paraId="10990488" w14:textId="797B54E0" w:rsidR="00926CF9" w:rsidRDefault="00BE78ED" w:rsidP="006037D3">
            <w:pPr>
              <w:spacing w:after="120" w:line="264" w:lineRule="auto"/>
            </w:pPr>
            <w:r>
              <w:t xml:space="preserve">Her experience extends to state health systems having </w:t>
            </w:r>
            <w:r w:rsidR="00A96A10">
              <w:t>a track record of implementing</w:t>
            </w:r>
            <w:r w:rsidR="00926CF9">
              <w:t xml:space="preserve"> innovative models of care </w:t>
            </w:r>
            <w:r w:rsidR="00A40C10">
              <w:t>for</w:t>
            </w:r>
            <w:r w:rsidR="00926CF9">
              <w:t xml:space="preserve"> high-cost interventions and remote</w:t>
            </w:r>
            <w:r w:rsidR="00E418F2">
              <w:t xml:space="preserve"> </w:t>
            </w:r>
            <w:r w:rsidR="00926CF9">
              <w:t>service delivery</w:t>
            </w:r>
            <w:r w:rsidR="00A96A10">
              <w:t xml:space="preserve"> as part of the Western Australian government</w:t>
            </w:r>
            <w:r w:rsidR="00F51A48">
              <w:t>.</w:t>
            </w:r>
          </w:p>
          <w:p w14:paraId="5AF29B65" w14:textId="5A21F936" w:rsidR="00926CF9" w:rsidRDefault="00926CF9" w:rsidP="00440765">
            <w:pPr>
              <w:spacing w:after="120" w:line="264" w:lineRule="auto"/>
              <w:rPr>
                <w:szCs w:val="20"/>
              </w:rPr>
            </w:pPr>
            <w:r w:rsidRPr="00DD6FDD">
              <w:rPr>
                <w:szCs w:val="20"/>
              </w:rPr>
              <w:t xml:space="preserve">She is on the Board of </w:t>
            </w:r>
            <w:hyperlink r:id="rId14" w:history="1">
              <w:r w:rsidRPr="001745B3">
                <w:rPr>
                  <w:rStyle w:val="Hyperlink"/>
                  <w:szCs w:val="20"/>
                </w:rPr>
                <w:t>Brandon BioCatalyst</w:t>
              </w:r>
            </w:hyperlink>
            <w:r>
              <w:rPr>
                <w:szCs w:val="20"/>
              </w:rPr>
              <w:t xml:space="preserve"> and the </w:t>
            </w:r>
            <w:hyperlink r:id="rId15" w:history="1">
              <w:r w:rsidRPr="00CB53DA">
                <w:rPr>
                  <w:rStyle w:val="Hyperlink"/>
                  <w:szCs w:val="20"/>
                </w:rPr>
                <w:t>National Centre for Indigenous Genomics</w:t>
              </w:r>
            </w:hyperlink>
            <w:r w:rsidR="00440765">
              <w:rPr>
                <w:rStyle w:val="Hyperlink"/>
                <w:szCs w:val="20"/>
              </w:rPr>
              <w:t xml:space="preserve"> </w:t>
            </w:r>
            <w:r w:rsidR="00440765">
              <w:t>and a graduate</w:t>
            </w:r>
            <w:r>
              <w:rPr>
                <w:szCs w:val="20"/>
              </w:rPr>
              <w:t xml:space="preserve"> and member of the</w:t>
            </w:r>
            <w:r w:rsidR="00440765">
              <w:rPr>
                <w:szCs w:val="20"/>
              </w:rPr>
              <w:t xml:space="preserve"> </w:t>
            </w:r>
            <w:r w:rsidR="00440765">
              <w:t>Australian Institute of Company Directors.</w:t>
            </w:r>
          </w:p>
        </w:tc>
      </w:tr>
    </w:tbl>
    <w:p w14:paraId="3A46D64A" w14:textId="77777777" w:rsidR="00063101" w:rsidRDefault="00063101" w:rsidP="00DC10BB">
      <w:pPr>
        <w:spacing w:after="120" w:line="264" w:lineRule="auto"/>
        <w:rPr>
          <w:szCs w:val="20"/>
        </w:rPr>
      </w:pPr>
    </w:p>
    <w:p w14:paraId="379B2671" w14:textId="77777777" w:rsidR="00063101" w:rsidRDefault="00063101" w:rsidP="00DC10BB">
      <w:pPr>
        <w:spacing w:after="120" w:line="264" w:lineRule="auto"/>
        <w:rPr>
          <w:szCs w:val="20"/>
        </w:rPr>
      </w:pPr>
    </w:p>
    <w:p w14:paraId="6C4DB47E" w14:textId="77777777" w:rsidR="00063101" w:rsidRDefault="00063101" w:rsidP="00DC10BB">
      <w:pPr>
        <w:spacing w:after="120" w:line="264" w:lineRule="auto"/>
        <w:rPr>
          <w:szCs w:val="20"/>
        </w:rPr>
      </w:pPr>
    </w:p>
    <w:p w14:paraId="02907C0F" w14:textId="23012E97" w:rsidR="00641A3C" w:rsidRPr="000858E4" w:rsidRDefault="00641A3C" w:rsidP="00DC10BB">
      <w:pPr>
        <w:spacing w:after="120" w:line="264" w:lineRule="auto"/>
      </w:pPr>
    </w:p>
    <w:sectPr w:rsidR="00641A3C" w:rsidRPr="000858E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995A7" w14:textId="77777777" w:rsidR="008B0C6F" w:rsidRDefault="008B0C6F" w:rsidP="008B0C6F">
      <w:r>
        <w:separator/>
      </w:r>
    </w:p>
  </w:endnote>
  <w:endnote w:type="continuationSeparator" w:id="0">
    <w:p w14:paraId="68FB0225" w14:textId="77777777" w:rsidR="008B0C6F" w:rsidRDefault="008B0C6F" w:rsidP="008B0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F8800" w14:textId="77777777" w:rsidR="008B0C6F" w:rsidRDefault="008B0C6F" w:rsidP="008B0C6F">
      <w:r>
        <w:separator/>
      </w:r>
    </w:p>
  </w:footnote>
  <w:footnote w:type="continuationSeparator" w:id="0">
    <w:p w14:paraId="47B4F646" w14:textId="77777777" w:rsidR="008B0C6F" w:rsidRDefault="008B0C6F" w:rsidP="008B0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A3C"/>
    <w:rsid w:val="00003743"/>
    <w:rsid w:val="00045F12"/>
    <w:rsid w:val="00046580"/>
    <w:rsid w:val="00053A70"/>
    <w:rsid w:val="00063101"/>
    <w:rsid w:val="00067456"/>
    <w:rsid w:val="000858E4"/>
    <w:rsid w:val="000A4B5F"/>
    <w:rsid w:val="000D38EC"/>
    <w:rsid w:val="00120723"/>
    <w:rsid w:val="001374DC"/>
    <w:rsid w:val="0019688B"/>
    <w:rsid w:val="001B3443"/>
    <w:rsid w:val="001E7C46"/>
    <w:rsid w:val="002D4E97"/>
    <w:rsid w:val="002D6E67"/>
    <w:rsid w:val="002F3AE3"/>
    <w:rsid w:val="0030786C"/>
    <w:rsid w:val="00324B3D"/>
    <w:rsid w:val="00395289"/>
    <w:rsid w:val="003D17F9"/>
    <w:rsid w:val="00440765"/>
    <w:rsid w:val="004866DA"/>
    <w:rsid w:val="004867E2"/>
    <w:rsid w:val="004E7F34"/>
    <w:rsid w:val="005803C0"/>
    <w:rsid w:val="005C4367"/>
    <w:rsid w:val="005C46D0"/>
    <w:rsid w:val="005D07EC"/>
    <w:rsid w:val="005D49E7"/>
    <w:rsid w:val="005F55E9"/>
    <w:rsid w:val="00623061"/>
    <w:rsid w:val="00624CDE"/>
    <w:rsid w:val="00641A3C"/>
    <w:rsid w:val="006A25A2"/>
    <w:rsid w:val="006A5136"/>
    <w:rsid w:val="007000FE"/>
    <w:rsid w:val="007B2762"/>
    <w:rsid w:val="007B47B2"/>
    <w:rsid w:val="007C32B0"/>
    <w:rsid w:val="007C50C4"/>
    <w:rsid w:val="007E109C"/>
    <w:rsid w:val="007F1142"/>
    <w:rsid w:val="00814FF1"/>
    <w:rsid w:val="008264EB"/>
    <w:rsid w:val="00863F27"/>
    <w:rsid w:val="008A0FFA"/>
    <w:rsid w:val="008B0C6F"/>
    <w:rsid w:val="008E3E51"/>
    <w:rsid w:val="008E4C36"/>
    <w:rsid w:val="00915EDA"/>
    <w:rsid w:val="00926CF9"/>
    <w:rsid w:val="00957685"/>
    <w:rsid w:val="00957C72"/>
    <w:rsid w:val="00994B35"/>
    <w:rsid w:val="009C7059"/>
    <w:rsid w:val="009D13CE"/>
    <w:rsid w:val="009F5CAF"/>
    <w:rsid w:val="00A40C10"/>
    <w:rsid w:val="00A4512D"/>
    <w:rsid w:val="00A50EB0"/>
    <w:rsid w:val="00A705AF"/>
    <w:rsid w:val="00A90801"/>
    <w:rsid w:val="00A96A10"/>
    <w:rsid w:val="00AD034F"/>
    <w:rsid w:val="00AD552B"/>
    <w:rsid w:val="00B42851"/>
    <w:rsid w:val="00B605F4"/>
    <w:rsid w:val="00B72C63"/>
    <w:rsid w:val="00BB53C2"/>
    <w:rsid w:val="00BE78ED"/>
    <w:rsid w:val="00BF1B6B"/>
    <w:rsid w:val="00BF7CC5"/>
    <w:rsid w:val="00C54E8B"/>
    <w:rsid w:val="00C56327"/>
    <w:rsid w:val="00C71A3E"/>
    <w:rsid w:val="00CB5B1A"/>
    <w:rsid w:val="00CC6ADB"/>
    <w:rsid w:val="00CD524A"/>
    <w:rsid w:val="00CE01F7"/>
    <w:rsid w:val="00CF032B"/>
    <w:rsid w:val="00CF594D"/>
    <w:rsid w:val="00D128B1"/>
    <w:rsid w:val="00D3436E"/>
    <w:rsid w:val="00D472A8"/>
    <w:rsid w:val="00D54C64"/>
    <w:rsid w:val="00D777D3"/>
    <w:rsid w:val="00DA3A52"/>
    <w:rsid w:val="00DA77E9"/>
    <w:rsid w:val="00DC10BB"/>
    <w:rsid w:val="00DD3D6F"/>
    <w:rsid w:val="00DD5FD8"/>
    <w:rsid w:val="00DD6FDD"/>
    <w:rsid w:val="00DE13D4"/>
    <w:rsid w:val="00DF31E9"/>
    <w:rsid w:val="00E418F2"/>
    <w:rsid w:val="00E910DE"/>
    <w:rsid w:val="00EB4DF2"/>
    <w:rsid w:val="00F10EAA"/>
    <w:rsid w:val="00F242BD"/>
    <w:rsid w:val="00F411F9"/>
    <w:rsid w:val="00F51A48"/>
    <w:rsid w:val="00F72E29"/>
    <w:rsid w:val="00FC52E7"/>
    <w:rsid w:val="00FF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FB321E"/>
  <w15:docId w15:val="{913DC240-27B0-4652-B3E8-AB3B13A85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1A3C"/>
    <w:rPr>
      <w:rFonts w:ascii="Calibri" w:eastAsiaTheme="minorHAns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A705AF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28"/>
      <w:sz w:val="28"/>
      <w:szCs w:val="32"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4"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eastAsia="Times New Roman" w:hAnsi="Arial" w:cs="Arial"/>
      <w:bCs/>
      <w:sz w:val="24"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eastAsia="Times New Roman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rFonts w:ascii="Times New Roman" w:eastAsia="Times New Roman" w:hAnsi="Times New Roman"/>
      <w:b/>
      <w:bCs/>
      <w:iCs/>
      <w:sz w:val="24"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rFonts w:ascii="Times New Roman" w:eastAsia="Times New Roman" w:hAnsi="Times New Roman"/>
      <w:b/>
      <w:bCs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rFonts w:ascii="Times New Roman" w:eastAsia="Times New Roman" w:hAnsi="Times New Roman"/>
      <w:i/>
      <w:iCs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4512D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641A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41A3C"/>
    <w:rPr>
      <w:rFonts w:ascii="Tahoma" w:eastAsiaTheme="minorHAnsi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39"/>
    <w:rsid w:val="00BB5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BB53C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E01F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  <w:style w:type="paragraph" w:styleId="EndnoteText">
    <w:name w:val="endnote text"/>
    <w:basedOn w:val="Normal"/>
    <w:link w:val="EndnoteTextChar"/>
    <w:semiHidden/>
    <w:unhideWhenUsed/>
    <w:rsid w:val="008B0C6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8B0C6F"/>
    <w:rPr>
      <w:rFonts w:ascii="Calibri" w:eastAsiaTheme="minorHAnsi" w:hAnsi="Calibri"/>
      <w:lang w:eastAsia="en-US"/>
    </w:rPr>
  </w:style>
  <w:style w:type="character" w:styleId="EndnoteReference">
    <w:name w:val="endnote reference"/>
    <w:basedOn w:val="DefaultParagraphFont"/>
    <w:semiHidden/>
    <w:unhideWhenUsed/>
    <w:rsid w:val="008B0C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8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siro.au/en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yperlink" Target="https://ncig.anu.edu.au/" TargetMode="External"/><Relationship Id="rId10" Type="http://schemas.openxmlformats.org/officeDocument/2006/relationships/hyperlink" Target="mailto:Erica.Kneipp@csiro.au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brandonbiocatalyst.com/cureato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8B640303AE8D4590D0FC8D9A052EE2" ma:contentTypeVersion="2" ma:contentTypeDescription="Create a new document." ma:contentTypeScope="" ma:versionID="3bf72e4ac7b81fb65cc78d0f966358a3">
  <xsd:schema xmlns:xsd="http://www.w3.org/2001/XMLSchema" xmlns:xs="http://www.w3.org/2001/XMLSchema" xmlns:p="http://schemas.microsoft.com/office/2006/metadata/properties" xmlns:ns3="bac893f7-cac0-446f-b3c8-f3fb8fc6cf98" targetNamespace="http://schemas.microsoft.com/office/2006/metadata/properties" ma:root="true" ma:fieldsID="2985228d7efdd0e7060988bdc41ffe04" ns3:_="">
    <xsd:import namespace="bac893f7-cac0-446f-b3c8-f3fb8fc6cf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893f7-cac0-446f-b3c8-f3fb8fc6cf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1F0A36-E2E2-4922-B2C4-EDECEEC8C7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E0D0F-ADCB-4D64-93D9-FB4BF06498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c893f7-cac0-446f-b3c8-f3fb8fc6cf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96FA56-F892-4D45-96D1-B6C43EC3EC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F4397C-BA23-4AEC-AB51-D26FDCACD0D4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terms/"/>
    <ds:schemaRef ds:uri="bac893f7-cac0-446f-b3c8-f3fb8fc6cf9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1090</TotalTime>
  <Pages>1</Pages>
  <Words>220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KEOUGH, Helen</dc:creator>
  <cp:lastModifiedBy>Kneipp, Erica (H&amp;B, Black Mountain)</cp:lastModifiedBy>
  <cp:revision>32</cp:revision>
  <dcterms:created xsi:type="dcterms:W3CDTF">2023-02-09T05:56:00Z</dcterms:created>
  <dcterms:modified xsi:type="dcterms:W3CDTF">2023-02-10T00:05:00Z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0x010100FA8B640303AE8D4590D0FC8D9A052EE2</vt:lpwstr>
  </property>
</Properties>
</file>